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0" w:rsidRDefault="00B959A0" w:rsidP="006779F4">
      <w:pPr>
        <w:pStyle w:val="Default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54B7" w:rsidTr="000D68BA">
        <w:tc>
          <w:tcPr>
            <w:tcW w:w="8644" w:type="dxa"/>
            <w:shd w:val="clear" w:color="auto" w:fill="DAEEF3" w:themeFill="accent5" w:themeFillTint="33"/>
          </w:tcPr>
          <w:p w:rsidR="006654B7" w:rsidRPr="000D68BA" w:rsidRDefault="006654B7" w:rsidP="006654B7">
            <w:pPr>
              <w:pStyle w:val="Default"/>
              <w:jc w:val="center"/>
              <w:rPr>
                <w:b/>
                <w:color w:val="auto"/>
              </w:rPr>
            </w:pPr>
          </w:p>
          <w:p w:rsidR="006654B7" w:rsidRDefault="006654B7" w:rsidP="006E3BA2">
            <w:pPr>
              <w:jc w:val="center"/>
            </w:pPr>
            <w:r w:rsidRPr="000D68BA">
              <w:rPr>
                <w:rFonts w:ascii="Arial" w:hAnsi="Arial" w:cs="Arial"/>
                <w:b/>
              </w:rPr>
              <w:t>CONSULTA PÚBLICA PREVIA A LA ELABORACIÓN DEL PROYECTO DE DECRETO DE AYUDAS A</w:t>
            </w:r>
            <w:r w:rsidR="006E3BA2">
              <w:rPr>
                <w:rFonts w:ascii="Arial" w:hAnsi="Arial" w:cs="Arial"/>
                <w:b/>
              </w:rPr>
              <w:t xml:space="preserve"> LA </w:t>
            </w:r>
            <w:r w:rsidR="006558D3">
              <w:rPr>
                <w:rFonts w:ascii="Arial" w:hAnsi="Arial" w:cs="Arial"/>
                <w:b/>
              </w:rPr>
              <w:t xml:space="preserve">PRESENTACIÓN </w:t>
            </w:r>
            <w:r w:rsidR="006E3BA2">
              <w:rPr>
                <w:rFonts w:ascii="Arial" w:hAnsi="Arial" w:cs="Arial"/>
                <w:b/>
              </w:rPr>
              <w:t>DE PROYECTOS TRACTORES DE INVESTIGACIÓN</w:t>
            </w:r>
            <w:r w:rsidR="000F41D9">
              <w:rPr>
                <w:rFonts w:ascii="Arial" w:hAnsi="Arial" w:cs="Arial"/>
                <w:b/>
              </w:rPr>
              <w:t>,</w:t>
            </w:r>
            <w:r w:rsidR="006E3BA2">
              <w:rPr>
                <w:rFonts w:ascii="Arial" w:hAnsi="Arial" w:cs="Arial"/>
                <w:b/>
              </w:rPr>
              <w:t xml:space="preserve"> </w:t>
            </w:r>
            <w:r w:rsidR="006558D3" w:rsidRPr="006558D3">
              <w:rPr>
                <w:rFonts w:ascii="Arial" w:hAnsi="Arial" w:cs="Arial"/>
                <w:b/>
              </w:rPr>
              <w:t>LIDERADOS POR AGENTES DE LA RED VASCA DE CIENCIA, TECNOLOGÍA E INNOVACIÓN</w:t>
            </w:r>
            <w:r w:rsidR="000F41D9">
              <w:rPr>
                <w:rFonts w:ascii="Arial" w:hAnsi="Arial" w:cs="Arial"/>
                <w:b/>
              </w:rPr>
              <w:t>,</w:t>
            </w:r>
            <w:r w:rsidR="006558D3" w:rsidRPr="000D68BA">
              <w:rPr>
                <w:rFonts w:ascii="Arial" w:hAnsi="Arial" w:cs="Arial"/>
                <w:b/>
              </w:rPr>
              <w:t xml:space="preserve"> </w:t>
            </w:r>
            <w:r w:rsidR="006558D3">
              <w:rPr>
                <w:rFonts w:ascii="Arial" w:hAnsi="Arial" w:cs="Arial"/>
                <w:b/>
              </w:rPr>
              <w:t xml:space="preserve">A CONVOCATORIAS DE SEGUNDA FASE </w:t>
            </w:r>
            <w:r w:rsidR="006E3BA2">
              <w:rPr>
                <w:rFonts w:ascii="Arial" w:hAnsi="Arial" w:cs="Arial"/>
                <w:b/>
              </w:rPr>
              <w:t>DEL PROGRAMA MARCO EUROPEO HORIZONTE 2020</w:t>
            </w:r>
          </w:p>
          <w:p w:rsidR="006654B7" w:rsidRDefault="006654B7" w:rsidP="006779F4">
            <w:pPr>
              <w:pStyle w:val="Default"/>
              <w:rPr>
                <w:color w:val="auto"/>
              </w:rPr>
            </w:pPr>
          </w:p>
        </w:tc>
      </w:tr>
    </w:tbl>
    <w:p w:rsidR="006654B7" w:rsidRDefault="006654B7" w:rsidP="006779F4">
      <w:pPr>
        <w:pStyle w:val="Default"/>
        <w:rPr>
          <w:color w:val="auto"/>
        </w:rPr>
      </w:pPr>
    </w:p>
    <w:p w:rsidR="006779F4" w:rsidRPr="00372081" w:rsidRDefault="00F109C3" w:rsidP="00372081">
      <w:pPr>
        <w:pStyle w:val="Default"/>
        <w:spacing w:before="120" w:after="120" w:line="276" w:lineRule="auto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72081">
        <w:rPr>
          <w:rFonts w:ascii="Arial" w:eastAsia="Times New Roman" w:hAnsi="Arial" w:cs="Arial"/>
          <w:color w:val="auto"/>
          <w:sz w:val="22"/>
          <w:szCs w:val="22"/>
        </w:rPr>
        <w:t>En cumplimiento de lo previsto por</w:t>
      </w:r>
      <w:r w:rsidR="006779F4"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 el artículo 133 de la ley 39/2015 de 1 de octubre, del </w:t>
      </w:r>
      <w:r w:rsidR="00826CA1"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Procedimiento Administrativo Común de las Administraciones Públicas, </w:t>
      </w:r>
      <w:r w:rsidR="006779F4" w:rsidRPr="00372081">
        <w:rPr>
          <w:rFonts w:ascii="Arial" w:eastAsia="Times New Roman" w:hAnsi="Arial" w:cs="Arial"/>
          <w:color w:val="auto"/>
          <w:sz w:val="22"/>
          <w:szCs w:val="22"/>
        </w:rPr>
        <w:t>esta consulta previa tiene por objeto re</w:t>
      </w:r>
      <w:r w:rsidR="00757FF2">
        <w:rPr>
          <w:rFonts w:ascii="Arial" w:eastAsia="Times New Roman" w:hAnsi="Arial" w:cs="Arial"/>
          <w:color w:val="auto"/>
          <w:sz w:val="22"/>
          <w:szCs w:val="22"/>
        </w:rPr>
        <w:t>cabar la opinión de las personas</w:t>
      </w: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779F4" w:rsidRPr="00372081">
        <w:rPr>
          <w:rFonts w:ascii="Arial" w:eastAsia="Times New Roman" w:hAnsi="Arial" w:cs="Arial"/>
          <w:color w:val="auto"/>
          <w:sz w:val="22"/>
          <w:szCs w:val="22"/>
        </w:rPr>
        <w:t>y</w:t>
      </w: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57FF2">
        <w:rPr>
          <w:rFonts w:ascii="Arial" w:eastAsia="Times New Roman" w:hAnsi="Arial" w:cs="Arial"/>
          <w:color w:val="auto"/>
          <w:sz w:val="22"/>
          <w:szCs w:val="22"/>
        </w:rPr>
        <w:t>de las</w:t>
      </w:r>
      <w:r w:rsidR="006779F4"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 organizaciones más representativas </w:t>
      </w:r>
      <w:r w:rsidR="00DA3495" w:rsidRPr="00372081">
        <w:rPr>
          <w:rFonts w:ascii="Arial" w:eastAsia="Times New Roman" w:hAnsi="Arial" w:cs="Arial"/>
          <w:color w:val="auto"/>
          <w:sz w:val="22"/>
          <w:szCs w:val="22"/>
        </w:rPr>
        <w:t>potencialmente</w:t>
      </w: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779F4" w:rsidRPr="00372081">
        <w:rPr>
          <w:rFonts w:ascii="Arial" w:eastAsia="Times New Roman" w:hAnsi="Arial" w:cs="Arial"/>
          <w:color w:val="auto"/>
          <w:sz w:val="22"/>
          <w:szCs w:val="22"/>
        </w:rPr>
        <w:t>afectadas por la futura norma</w:t>
      </w:r>
      <w:r w:rsidR="001B226C" w:rsidRPr="00372081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6779F4"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 acerca de: </w:t>
      </w:r>
    </w:p>
    <w:p w:rsidR="00237C97" w:rsidRPr="00372081" w:rsidRDefault="00237C97" w:rsidP="00372081">
      <w:pPr>
        <w:pStyle w:val="Default"/>
        <w:spacing w:before="120" w:after="120"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6779F4" w:rsidRPr="00372081" w:rsidRDefault="006779F4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• Los problemas que se pretenden solucionar con la iniciativa </w:t>
      </w:r>
    </w:p>
    <w:p w:rsidR="006779F4" w:rsidRPr="00372081" w:rsidRDefault="006779F4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• La necesidad y oportunidad de su aprobación </w:t>
      </w:r>
    </w:p>
    <w:p w:rsidR="006779F4" w:rsidRPr="00372081" w:rsidRDefault="006779F4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• Los objetivos de la norma </w:t>
      </w:r>
    </w:p>
    <w:p w:rsidR="006779F4" w:rsidRDefault="006779F4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  <w:r w:rsidRPr="00372081">
        <w:rPr>
          <w:rFonts w:ascii="Arial" w:eastAsia="Times New Roman" w:hAnsi="Arial" w:cs="Arial"/>
          <w:color w:val="auto"/>
          <w:sz w:val="22"/>
          <w:szCs w:val="22"/>
        </w:rPr>
        <w:t xml:space="preserve">• Las posibles soluciones alternativas regulatorias y no regulatorias </w:t>
      </w:r>
    </w:p>
    <w:p w:rsidR="006654B7" w:rsidRDefault="006654B7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6654B7" w:rsidRPr="006654B7" w:rsidRDefault="006654B7" w:rsidP="0069367B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654B7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Antecedentes de la norma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0A6DE5" w:rsidRPr="000A6DE5" w:rsidRDefault="000A6DE5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El Gobierno Vasco, en su apuesta estratégica por la investigación y la innovación, viene impulsando la política de I+D+i de Euskadi, como elemento fundamental para que la economía vasca mejore su competitividad y avance en una senda de crecimiento sostenible. </w:t>
            </w:r>
          </w:p>
          <w:p w:rsidR="000A6DE5" w:rsidRPr="000A6DE5" w:rsidRDefault="000A6DE5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El Plan de Ciencia,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Tecnología e Innovación - PCTI 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2020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-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 recoge esta apuesta e incluye dentro de sus líneas estratégicas el fortalecimiento del liderazgo industrial en la investigación y la elevación de la excelencia del Sistema Vasco de Ciencia, Tecnología e Innovación, así como su apertura e internacionalización.</w:t>
            </w:r>
          </w:p>
          <w:p w:rsidR="006654B7" w:rsidRDefault="000A6DE5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Una vez alcanzado el quinto año de despliegue del PCTI 2020, Euskadi se mantiene entre las regiones y países de alta innovación </w:t>
            </w:r>
            <w:r w:rsidRPr="0035754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y se confirma el cambio de tendencia en el crecimiento de las inversiones público-privadas en Investigación y Desarrollo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Sin embargo, la ratio de inversión en I+D sobre el PIB todavía se encuentra por debajo de la media europea, especialmente en el sector empresarial, con el riesgo que conlleva de pérdida de competitividad.</w:t>
            </w:r>
          </w:p>
          <w:p w:rsidR="00FA0BF8" w:rsidRDefault="000A6DE5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 xml:space="preserve">La internacionalización 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y 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la captación de fondos 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del 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Programa M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arco 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Europeo de I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nvestigación H2020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pueden ayudar a financiar la I+D+i en Euskadi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Entre 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2014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y 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2017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y según los datos del Observatorio de Innobasque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las entidades vascas consiguieron participar en 723 proyectos de investigación de H2020 y obtuvieron una financiación de casi 440 millones de euros. Sin embargo, se ha observado que dicha participación ha ido disminuyendo </w:t>
            </w:r>
            <w:r w:rsidR="0066574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 lo largo de los años</w:t>
            </w:r>
            <w:r w:rsidRPr="000A6DE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</w:p>
          <w:p w:rsidR="00466B58" w:rsidRDefault="00466B58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El Gobierno Vasco considera que en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este momento resulta necesario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apoyar e incentivar la participación en el marco Europeo de investigación H2020.</w:t>
            </w:r>
          </w:p>
          <w:p w:rsidR="00466B58" w:rsidRDefault="000F41D9" w:rsidP="008527A5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No </w:t>
            </w:r>
            <w:r w:rsidR="00466B5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existe una línea </w:t>
            </w:r>
            <w:proofErr w:type="spellStart"/>
            <w:r w:rsidR="00466B5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subvencional</w:t>
            </w:r>
            <w:proofErr w:type="spellEnd"/>
            <w:r w:rsidR="00466B5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que apoye esta concurrencia, por lo que no hay antecedente normativo como tal.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6654B7" w:rsidRPr="006654B7" w:rsidRDefault="006654B7" w:rsidP="0069367B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654B7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Problemas que se pretenden solucionar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BD56BB" w:rsidRDefault="006654B7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6654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1.- 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Imp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ulsar la captación de fondos del 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Programa Marco E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uropeo 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H2020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 w:rsidR="003F00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que financien la actividad de I+D+i </w:t>
            </w:r>
            <w:r w:rsidR="00BD56B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en Euskadi en ámbitos de interés del PCTI, a través de los agentes de la Red Vasca de Ciencia, Tecnología e Innovación</w:t>
            </w:r>
            <w:r w:rsidR="009717F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(de 140 millones de euros captados en 2014</w:t>
            </w:r>
            <w:r w:rsidR="00A81B0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9717F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se ha pasado a </w:t>
            </w:r>
            <w:r w:rsidR="00D91AC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105 millones</w:t>
            </w:r>
            <w:r w:rsidR="009717F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en 2017)</w:t>
            </w:r>
            <w:r w:rsidR="00D91AC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  <w:p w:rsidR="00FA0BF8" w:rsidRDefault="00FA0BF8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2</w:t>
            </w:r>
            <w:r w:rsidRPr="006654B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.-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Mejorar la calidad y probabilidad de éxito de las propuestas presentadas por los agentes vascos a la 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segunda fase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de convocatorias de Acciones de Investigación e Innovación (RIA) y Acciones de Innovación (IA) del programa H2020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L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 tasa actual de éxito de las organizaciones vascas en este tipo de proyectos es del 19%, representando las RIA e IA el 80% del total d</w:t>
            </w:r>
            <w:r w:rsid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 fondos captados desde Euskadi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  <w:p w:rsidR="009717F9" w:rsidRDefault="00FA0BF8" w:rsidP="000F41D9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3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.- Potenciar el liderazgo 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de</w:t>
            </w:r>
            <w:r w:rsidR="006E213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las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entidades vascas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en los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Proyectos Tractores de Investigación Europeos, 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esto 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permit</w:t>
            </w:r>
            <w:r w:rsidR="009717F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irá 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dirigir 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sus 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objetivos hacia los intereses estratégicos de Euskadi</w:t>
            </w:r>
            <w:r w:rsidR="0035754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9717F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favorec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iendo la participación de las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empresas</w:t>
            </w:r>
            <w:r w:rsidR="000F41D9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vascas. L</w:t>
            </w:r>
            <w:r w:rsidR="0069367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as organizaciones vascas asumen la coordinación del proyecto </w:t>
            </w:r>
            <w:r w:rsidR="004128CE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en el 23% de los </w:t>
            </w:r>
            <w:r w:rsidR="0069367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casos</w:t>
            </w:r>
            <w:r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de este tipo de proyectos RIA e IA</w:t>
            </w:r>
            <w:r w:rsidR="00BD56BB" w:rsidRPr="000F41D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6654B7" w:rsidRPr="006654B7" w:rsidRDefault="006654B7" w:rsidP="0069367B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654B7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 necesidad y oportunidad de su aprobación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6654B7" w:rsidRPr="006654B7" w:rsidRDefault="006654B7" w:rsidP="0069367B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0392F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Necesidad</w:t>
            </w:r>
            <w:r w:rsidRPr="00D0392F">
              <w:rPr>
                <w:color w:val="auto"/>
                <w:sz w:val="22"/>
                <w:szCs w:val="22"/>
              </w:rPr>
              <w:t>:</w:t>
            </w:r>
            <w:r w:rsidR="0069367B">
              <w:rPr>
                <w:color w:val="auto"/>
                <w:sz w:val="22"/>
                <w:szCs w:val="22"/>
              </w:rPr>
              <w:t xml:space="preserve"> 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F</w:t>
            </w:r>
            <w:r w:rsidR="0069367B" w:rsidRP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altan 2 años para 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culminar el proc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eso de despliegue del PCTI 2020 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–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RIS3 Euskadi, y uno de los principales retos pendientes para el cumplimiento de sus escenarios económicos es el impulso de las inversiones en I+D.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La financiación internacional proveniente del </w:t>
            </w:r>
            <w:r w:rsidR="0056408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rograma </w:t>
            </w:r>
            <w:r w:rsidR="0056408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M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arco H2020 puede con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solidarse 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como una fuente de recursos económicos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adicionales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, 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apoyada en el conocimiento y experiencia de 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los agentes de la Red Vasca de Ciencia, 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>T</w:t>
            </w:r>
            <w:r w:rsidR="0069367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ecnología e Innovación.</w:t>
            </w:r>
          </w:p>
          <w:p w:rsidR="006654B7" w:rsidRDefault="006654B7" w:rsidP="006D3E14">
            <w:pPr>
              <w:pStyle w:val="Default"/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73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Oportunidad</w:t>
            </w:r>
            <w:r w:rsidRPr="00565C0D">
              <w:rPr>
                <w:color w:val="auto"/>
                <w:sz w:val="22"/>
                <w:szCs w:val="22"/>
              </w:rPr>
              <w:t xml:space="preserve">: </w:t>
            </w:r>
            <w:r w:rsidR="0056408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En la recta final del P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rograma H2020, todavía falta por ejecutarse una cantidad importante de fondos, lo que implica que van a publicarse numerosas convocatorias de proyectos de investigación entre 2019 y 2020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 que dispondrán de una importante financiación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Existe la oportunidad de mejorar la tasa de éxito de las propuestas e impulsar el liderazgo de las organizaciones vascas, dotándolas de mayores recursos para la 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elaboración y 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coordinación de grandes proyectos tractores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de investigación</w:t>
            </w:r>
            <w:r w:rsidR="006D3E14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 liderados por los Agentes de la Red Vasca de Ci</w:t>
            </w:r>
            <w:r w:rsidR="00FA0B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encia, Tecnología e Innovación y contando con la participación de empresas vascas.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6654B7" w:rsidRDefault="006654B7" w:rsidP="0069367B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16E36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Los objetivos de la norma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0A73FA" w:rsidRPr="00664A4B" w:rsidRDefault="006654B7" w:rsidP="00C17F57">
            <w:pPr>
              <w:spacing w:before="120" w:after="60" w:line="276" w:lineRule="auto"/>
              <w:jc w:val="both"/>
              <w:rPr>
                <w:rFonts w:ascii="Arial" w:eastAsia="Times New Roman" w:hAnsi="Arial" w:cs="Arial"/>
              </w:rPr>
            </w:pPr>
            <w:r w:rsidRPr="00664A4B">
              <w:rPr>
                <w:rFonts w:ascii="Arial" w:eastAsia="Times New Roman" w:hAnsi="Arial" w:cs="Arial"/>
              </w:rPr>
              <w:t xml:space="preserve">El objeto de la norma que se proyecta es </w:t>
            </w:r>
            <w:r w:rsidR="00C01C89" w:rsidRPr="00664A4B">
              <w:rPr>
                <w:rFonts w:ascii="Arial" w:eastAsia="Times New Roman" w:hAnsi="Arial" w:cs="Arial"/>
              </w:rPr>
              <w:t xml:space="preserve">apoyar la actividad no económica de las entidades acreditadas </w:t>
            </w:r>
            <w:r w:rsidR="00C17F57" w:rsidRPr="00664A4B">
              <w:rPr>
                <w:rFonts w:ascii="Arial" w:eastAsia="Times New Roman" w:hAnsi="Arial" w:cs="Arial"/>
              </w:rPr>
              <w:t>en</w:t>
            </w:r>
            <w:r w:rsidR="00C01C89" w:rsidRPr="00664A4B">
              <w:rPr>
                <w:rFonts w:ascii="Arial" w:eastAsia="Times New Roman" w:hAnsi="Arial" w:cs="Arial"/>
              </w:rPr>
              <w:t xml:space="preserve"> la Red Vasca de Ciencia, Tecnología e Innovación </w:t>
            </w:r>
            <w:r w:rsidR="00C17F57" w:rsidRPr="00664A4B">
              <w:rPr>
                <w:rFonts w:ascii="Arial" w:eastAsia="Times New Roman" w:hAnsi="Arial" w:cs="Arial"/>
              </w:rPr>
              <w:t xml:space="preserve">(RVCTI) </w:t>
            </w:r>
            <w:r w:rsidR="00C01C89" w:rsidRPr="00664A4B">
              <w:rPr>
                <w:rFonts w:ascii="Arial" w:eastAsia="Times New Roman" w:hAnsi="Arial" w:cs="Arial"/>
              </w:rPr>
              <w:t xml:space="preserve">que desarrollan actividades de investigación, destinada a elaborar </w:t>
            </w:r>
            <w:r w:rsidR="000A73FA" w:rsidRPr="00664A4B">
              <w:rPr>
                <w:rFonts w:ascii="Arial" w:eastAsia="Times New Roman" w:hAnsi="Arial" w:cs="Arial"/>
              </w:rPr>
              <w:t>propuestas</w:t>
            </w:r>
            <w:r w:rsidR="00AC773C">
              <w:rPr>
                <w:rFonts w:ascii="Arial" w:eastAsia="Times New Roman" w:hAnsi="Arial" w:cs="Arial"/>
              </w:rPr>
              <w:t xml:space="preserve"> de </w:t>
            </w:r>
            <w:r w:rsidR="00564082">
              <w:rPr>
                <w:rFonts w:ascii="Arial" w:eastAsia="Times New Roman" w:hAnsi="Arial" w:cs="Arial"/>
              </w:rPr>
              <w:t xml:space="preserve">segunda </w:t>
            </w:r>
            <w:r w:rsidR="00AC773C">
              <w:rPr>
                <w:rFonts w:ascii="Arial" w:eastAsia="Times New Roman" w:hAnsi="Arial" w:cs="Arial"/>
              </w:rPr>
              <w:t xml:space="preserve">fase </w:t>
            </w:r>
            <w:r w:rsidR="000A73FA" w:rsidRPr="00664A4B">
              <w:rPr>
                <w:rFonts w:ascii="Arial" w:eastAsia="Times New Roman" w:hAnsi="Arial" w:cs="Arial"/>
              </w:rPr>
              <w:t xml:space="preserve">de </w:t>
            </w:r>
            <w:r w:rsidR="00C01C89" w:rsidRPr="00664A4B">
              <w:rPr>
                <w:rFonts w:ascii="Arial" w:eastAsia="Times New Roman" w:hAnsi="Arial" w:cs="Arial"/>
              </w:rPr>
              <w:t xml:space="preserve">proyectos </w:t>
            </w:r>
            <w:r w:rsidR="000A73FA" w:rsidRPr="00664A4B">
              <w:rPr>
                <w:rFonts w:ascii="Arial" w:eastAsia="Times New Roman" w:hAnsi="Arial" w:cs="Arial"/>
              </w:rPr>
              <w:t xml:space="preserve">de Acciones de Investigación e Innovación (RIA) y Acciones de Innovación (AI) del </w:t>
            </w:r>
            <w:r w:rsidR="00564082">
              <w:rPr>
                <w:rFonts w:ascii="Arial" w:eastAsia="Times New Roman" w:hAnsi="Arial" w:cs="Arial"/>
              </w:rPr>
              <w:t>P</w:t>
            </w:r>
            <w:bookmarkStart w:id="0" w:name="_GoBack"/>
            <w:bookmarkEnd w:id="0"/>
            <w:r w:rsidR="00C01C89" w:rsidRPr="00664A4B">
              <w:rPr>
                <w:rFonts w:ascii="Arial" w:eastAsia="Times New Roman" w:hAnsi="Arial" w:cs="Arial"/>
              </w:rPr>
              <w:t>rograma H2020</w:t>
            </w:r>
            <w:r w:rsidR="00AC773C">
              <w:rPr>
                <w:rFonts w:ascii="Arial" w:eastAsia="Times New Roman" w:hAnsi="Arial" w:cs="Arial"/>
              </w:rPr>
              <w:t>.</w:t>
            </w:r>
            <w:r w:rsidR="000A73FA" w:rsidRPr="00664A4B">
              <w:rPr>
                <w:rFonts w:ascii="Arial" w:eastAsia="Times New Roman" w:hAnsi="Arial" w:cs="Arial"/>
              </w:rPr>
              <w:t xml:space="preserve"> </w:t>
            </w:r>
          </w:p>
          <w:p w:rsidR="00C17F57" w:rsidRPr="00221D22" w:rsidRDefault="00AC773C" w:rsidP="00AC773C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lo anterior, s</w:t>
            </w:r>
            <w:r w:rsidR="00664A4B" w:rsidRPr="00664A4B">
              <w:rPr>
                <w:rFonts w:ascii="Arial" w:hAnsi="Arial" w:cs="Arial"/>
              </w:rPr>
              <w:t xml:space="preserve">e considera </w:t>
            </w:r>
            <w:r>
              <w:rPr>
                <w:rFonts w:ascii="Arial" w:hAnsi="Arial" w:cs="Arial"/>
              </w:rPr>
              <w:t xml:space="preserve">necesario </w:t>
            </w:r>
            <w:r w:rsidR="00664A4B" w:rsidRPr="00664A4B">
              <w:rPr>
                <w:rFonts w:ascii="Arial" w:hAnsi="Arial" w:cs="Arial"/>
              </w:rPr>
              <w:t xml:space="preserve">que las ayudas </w:t>
            </w:r>
            <w:r>
              <w:rPr>
                <w:rFonts w:ascii="Arial" w:hAnsi="Arial" w:cs="Arial"/>
              </w:rPr>
              <w:t xml:space="preserve">se dirijan </w:t>
            </w:r>
            <w:r w:rsidR="00664A4B" w:rsidRPr="00664A4B">
              <w:rPr>
                <w:rFonts w:ascii="Arial" w:hAnsi="Arial" w:cs="Arial"/>
              </w:rPr>
              <w:t xml:space="preserve">a </w:t>
            </w:r>
            <w:r w:rsidR="00C17F57" w:rsidRPr="00664A4B">
              <w:rPr>
                <w:rFonts w:ascii="Arial" w:hAnsi="Arial" w:cs="Arial"/>
              </w:rPr>
              <w:t>los Agentes de la RVCTI acreditados en alguna de las siguientes categorías: Estructuras de Investigación de las Universidades, Centros de Investigación Básica y de Excelencia, Institutos de Investigación Sanitaria, Organizaciones de I+D sanitarias, Centros Tecnológicos y Centros de Investigación Cooperativa.</w:t>
            </w:r>
          </w:p>
        </w:tc>
      </w:tr>
      <w:tr w:rsidR="006654B7" w:rsidTr="006654B7">
        <w:tc>
          <w:tcPr>
            <w:tcW w:w="2127" w:type="dxa"/>
            <w:shd w:val="clear" w:color="auto" w:fill="DAEEF3" w:themeFill="accent5" w:themeFillTint="33"/>
          </w:tcPr>
          <w:p w:rsidR="006654B7" w:rsidRPr="006654B7" w:rsidRDefault="006654B7" w:rsidP="0069367B">
            <w:pPr>
              <w:pStyle w:val="Default"/>
              <w:spacing w:before="120" w:after="120"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6654B7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Las posibles soluciones alternativas regulatorias y no regulatorias</w:t>
            </w:r>
          </w:p>
        </w:tc>
        <w:tc>
          <w:tcPr>
            <w:tcW w:w="6485" w:type="dxa"/>
            <w:shd w:val="clear" w:color="auto" w:fill="D6E3BC" w:themeFill="accent3" w:themeFillTint="66"/>
          </w:tcPr>
          <w:p w:rsidR="006654B7" w:rsidRDefault="00664A4B" w:rsidP="00E15207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  <w:r w:rsidR="000A73FA">
              <w:rPr>
                <w:rFonts w:ascii="Arial" w:eastAsia="Times New Roman" w:hAnsi="Arial" w:cs="Arial"/>
              </w:rPr>
              <w:t>as ayudas a la elaboración de proyectos de investigación europeos se podrían enm</w:t>
            </w:r>
            <w:r w:rsidR="006F525C">
              <w:rPr>
                <w:rFonts w:ascii="Arial" w:eastAsia="Times New Roman" w:hAnsi="Arial" w:cs="Arial"/>
              </w:rPr>
              <w:t>arcar en el ‘</w:t>
            </w:r>
            <w:r w:rsidR="006F525C" w:rsidRPr="006F525C">
              <w:rPr>
                <w:rFonts w:ascii="Arial" w:eastAsia="Times New Roman" w:hAnsi="Arial" w:cs="Arial"/>
                <w:i/>
              </w:rPr>
              <w:t>M</w:t>
            </w:r>
            <w:r w:rsidR="000A73FA" w:rsidRPr="006F525C">
              <w:rPr>
                <w:rFonts w:ascii="Arial" w:eastAsia="Times New Roman" w:hAnsi="Arial" w:cs="Arial"/>
                <w:i/>
              </w:rPr>
              <w:t xml:space="preserve">arco </w:t>
            </w:r>
            <w:r w:rsidR="006F525C" w:rsidRPr="006F525C">
              <w:rPr>
                <w:rFonts w:ascii="Arial" w:eastAsia="Times New Roman" w:hAnsi="Arial" w:cs="Arial"/>
                <w:i/>
              </w:rPr>
              <w:t>C</w:t>
            </w:r>
            <w:r w:rsidR="000A73FA" w:rsidRPr="006F525C">
              <w:rPr>
                <w:rFonts w:ascii="Arial" w:eastAsia="Times New Roman" w:hAnsi="Arial" w:cs="Arial"/>
                <w:i/>
              </w:rPr>
              <w:t xml:space="preserve">omunitario de </w:t>
            </w:r>
            <w:r w:rsidR="006F525C" w:rsidRPr="006F525C">
              <w:rPr>
                <w:rFonts w:ascii="Arial" w:eastAsia="Times New Roman" w:hAnsi="Arial" w:cs="Arial"/>
                <w:i/>
              </w:rPr>
              <w:t>A</w:t>
            </w:r>
            <w:r w:rsidR="000A73FA" w:rsidRPr="006F525C">
              <w:rPr>
                <w:rFonts w:ascii="Arial" w:eastAsia="Times New Roman" w:hAnsi="Arial" w:cs="Arial"/>
                <w:i/>
              </w:rPr>
              <w:t xml:space="preserve">yudas </w:t>
            </w:r>
            <w:r w:rsidR="006F525C" w:rsidRPr="006F525C">
              <w:rPr>
                <w:rFonts w:ascii="Arial" w:eastAsia="Times New Roman" w:hAnsi="Arial" w:cs="Arial"/>
                <w:i/>
              </w:rPr>
              <w:t>E</w:t>
            </w:r>
            <w:r w:rsidR="000A73FA" w:rsidRPr="006F525C">
              <w:rPr>
                <w:rFonts w:ascii="Arial" w:eastAsia="Times New Roman" w:hAnsi="Arial" w:cs="Arial"/>
                <w:i/>
              </w:rPr>
              <w:t xml:space="preserve">statales </w:t>
            </w:r>
            <w:r w:rsidR="006F525C" w:rsidRPr="006F525C">
              <w:rPr>
                <w:rFonts w:ascii="Arial" w:eastAsia="Times New Roman" w:hAnsi="Arial" w:cs="Arial"/>
                <w:i/>
              </w:rPr>
              <w:t>de Investigación, Desarrollo e Innovación</w:t>
            </w:r>
            <w:r w:rsidR="006F525C">
              <w:rPr>
                <w:rFonts w:ascii="Arial" w:eastAsia="Times New Roman" w:hAnsi="Arial" w:cs="Arial"/>
              </w:rPr>
              <w:t>’</w:t>
            </w:r>
            <w:r w:rsidR="000A73FA">
              <w:rPr>
                <w:rFonts w:ascii="Arial" w:eastAsia="Times New Roman" w:hAnsi="Arial" w:cs="Arial"/>
              </w:rPr>
              <w:t xml:space="preserve">, </w:t>
            </w:r>
            <w:r w:rsidR="00ED706F">
              <w:rPr>
                <w:rFonts w:ascii="Arial" w:eastAsia="Times New Roman" w:hAnsi="Arial" w:cs="Arial"/>
              </w:rPr>
              <w:t xml:space="preserve">lo que </w:t>
            </w:r>
            <w:r w:rsidR="000A73FA">
              <w:rPr>
                <w:rFonts w:ascii="Arial" w:eastAsia="Times New Roman" w:hAnsi="Arial" w:cs="Arial"/>
              </w:rPr>
              <w:t>implicaría que la intensidad de ayuda variar</w:t>
            </w:r>
            <w:r w:rsidR="00ED706F">
              <w:rPr>
                <w:rFonts w:ascii="Arial" w:eastAsia="Times New Roman" w:hAnsi="Arial" w:cs="Arial"/>
              </w:rPr>
              <w:t>ía</w:t>
            </w:r>
            <w:r w:rsidR="000A73FA">
              <w:rPr>
                <w:rFonts w:ascii="Arial" w:eastAsia="Times New Roman" w:hAnsi="Arial" w:cs="Arial"/>
              </w:rPr>
              <w:t xml:space="preserve"> en función del tipo de proyecto de investigación</w:t>
            </w:r>
            <w:r w:rsidR="00630189">
              <w:rPr>
                <w:rFonts w:ascii="Arial" w:eastAsia="Times New Roman" w:hAnsi="Arial" w:cs="Arial"/>
              </w:rPr>
              <w:t xml:space="preserve"> presentado. </w:t>
            </w:r>
            <w:r w:rsidR="000A73FA">
              <w:rPr>
                <w:rFonts w:ascii="Arial" w:eastAsia="Times New Roman" w:hAnsi="Arial" w:cs="Arial"/>
              </w:rPr>
              <w:t>Esta alternativa</w:t>
            </w:r>
            <w:r w:rsidR="00630189">
              <w:rPr>
                <w:rFonts w:ascii="Arial" w:eastAsia="Times New Roman" w:hAnsi="Arial" w:cs="Arial"/>
              </w:rPr>
              <w:t xml:space="preserve"> implicaría añadir una importante carga de evaluación</w:t>
            </w:r>
            <w:r w:rsidR="00ED706F">
              <w:rPr>
                <w:rFonts w:ascii="Arial" w:eastAsia="Times New Roman" w:hAnsi="Arial" w:cs="Arial"/>
              </w:rPr>
              <w:t xml:space="preserve"> de cada proyecto</w:t>
            </w:r>
            <w:r w:rsidR="00630189">
              <w:rPr>
                <w:rFonts w:ascii="Arial" w:eastAsia="Times New Roman" w:hAnsi="Arial" w:cs="Arial"/>
              </w:rPr>
              <w:t>, haciendo más complejo</w:t>
            </w:r>
            <w:r w:rsidR="00E15207">
              <w:rPr>
                <w:rFonts w:ascii="Arial" w:eastAsia="Times New Roman" w:hAnsi="Arial" w:cs="Arial"/>
              </w:rPr>
              <w:t xml:space="preserve">, caro </w:t>
            </w:r>
            <w:r w:rsidR="00630189">
              <w:rPr>
                <w:rFonts w:ascii="Arial" w:eastAsia="Times New Roman" w:hAnsi="Arial" w:cs="Arial"/>
              </w:rPr>
              <w:t>y largo el proceso de aprobación de la ayuda</w:t>
            </w:r>
            <w:r w:rsidR="00ED706F">
              <w:rPr>
                <w:rFonts w:ascii="Arial" w:eastAsia="Times New Roman" w:hAnsi="Arial" w:cs="Arial"/>
              </w:rPr>
              <w:t xml:space="preserve">. Como consecuencia, esta alternativa </w:t>
            </w:r>
            <w:r w:rsidR="00630189">
              <w:rPr>
                <w:rFonts w:ascii="Arial" w:eastAsia="Times New Roman" w:hAnsi="Arial" w:cs="Arial"/>
              </w:rPr>
              <w:t>desincentiva</w:t>
            </w:r>
            <w:r w:rsidR="00ED706F">
              <w:rPr>
                <w:rFonts w:ascii="Arial" w:eastAsia="Times New Roman" w:hAnsi="Arial" w:cs="Arial"/>
              </w:rPr>
              <w:t xml:space="preserve">ría </w:t>
            </w:r>
            <w:r w:rsidR="00630189">
              <w:rPr>
                <w:rFonts w:ascii="Arial" w:eastAsia="Times New Roman" w:hAnsi="Arial" w:cs="Arial"/>
              </w:rPr>
              <w:t>la presentación de propuestas</w:t>
            </w:r>
            <w:r w:rsidR="00E15207">
              <w:rPr>
                <w:rFonts w:ascii="Arial" w:eastAsia="Times New Roman" w:hAnsi="Arial" w:cs="Arial"/>
              </w:rPr>
              <w:t xml:space="preserve"> y disminu</w:t>
            </w:r>
            <w:r w:rsidR="00ED706F">
              <w:rPr>
                <w:rFonts w:ascii="Arial" w:eastAsia="Times New Roman" w:hAnsi="Arial" w:cs="Arial"/>
              </w:rPr>
              <w:t xml:space="preserve">iría </w:t>
            </w:r>
            <w:r w:rsidR="00E15207">
              <w:rPr>
                <w:rFonts w:ascii="Arial" w:eastAsia="Times New Roman" w:hAnsi="Arial" w:cs="Arial"/>
              </w:rPr>
              <w:t>la eficacia y eficiencia de los recursos públicos</w:t>
            </w:r>
            <w:r w:rsidR="00ED706F">
              <w:rPr>
                <w:rFonts w:ascii="Arial" w:eastAsia="Times New Roman" w:hAnsi="Arial" w:cs="Arial"/>
              </w:rPr>
              <w:t xml:space="preserve"> empleados</w:t>
            </w:r>
            <w:r w:rsidR="00E15207">
              <w:rPr>
                <w:rFonts w:ascii="Arial" w:eastAsia="Times New Roman" w:hAnsi="Arial" w:cs="Arial"/>
              </w:rPr>
              <w:t>.</w:t>
            </w:r>
          </w:p>
          <w:p w:rsidR="00E15207" w:rsidRDefault="00E15207" w:rsidP="00E15207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Una segunda alternativa sería adjudicar las ayudas a través de la modalidad de MINIMIS, pero ello implicaría dejar fuera de su alcance a una gran parte de los agentes de la Red Vasca de Ciencia, Tecnología e Innovación, que habitualmente </w:t>
            </w:r>
            <w:r>
              <w:rPr>
                <w:rFonts w:ascii="Arial" w:eastAsia="Times New Roman" w:hAnsi="Arial" w:cs="Arial"/>
              </w:rPr>
              <w:lastRenderedPageBreak/>
              <w:t>desempeñan el papel de coordinadores de las propuestas de este tipo de grandes proyectos tractores de investigación europeos.</w:t>
            </w:r>
          </w:p>
          <w:p w:rsidR="00AF3E90" w:rsidRDefault="00AF3E90" w:rsidP="00564082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Por lo anterior, se considera que la alternativa </w:t>
            </w:r>
            <w:r w:rsidR="00221D22">
              <w:rPr>
                <w:rFonts w:ascii="Arial" w:eastAsia="Times New Roman" w:hAnsi="Arial" w:cs="Arial"/>
              </w:rPr>
              <w:t xml:space="preserve">más, </w:t>
            </w:r>
            <w:r w:rsidR="00664A4B">
              <w:rPr>
                <w:rFonts w:ascii="Arial" w:eastAsia="Times New Roman" w:hAnsi="Arial" w:cs="Arial"/>
              </w:rPr>
              <w:t>ágil</w:t>
            </w:r>
            <w:r w:rsidR="00221D22">
              <w:rPr>
                <w:rFonts w:ascii="Arial" w:eastAsia="Times New Roman" w:hAnsi="Arial" w:cs="Arial"/>
              </w:rPr>
              <w:t xml:space="preserve"> y eficiente es la de </w:t>
            </w:r>
            <w:r>
              <w:rPr>
                <w:rFonts w:ascii="Arial" w:eastAsia="Times New Roman" w:hAnsi="Arial" w:cs="Arial"/>
              </w:rPr>
              <w:t xml:space="preserve">apoyar la actividad </w:t>
            </w:r>
            <w:r w:rsidR="00564082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o </w:t>
            </w:r>
            <w:r w:rsidR="00564082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conómica</w:t>
            </w:r>
            <w:r w:rsidR="0056408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de los Agentes de la Red Vasca de Ciencia, Tecnología e Innovación, dirigida a </w:t>
            </w:r>
            <w:r w:rsidR="00221D22">
              <w:rPr>
                <w:rFonts w:ascii="Arial" w:eastAsia="Times New Roman" w:hAnsi="Arial" w:cs="Arial"/>
              </w:rPr>
              <w:t xml:space="preserve">elaborar propuestas </w:t>
            </w:r>
            <w:r w:rsidR="00AC773C">
              <w:rPr>
                <w:rFonts w:ascii="Arial" w:eastAsia="Times New Roman" w:hAnsi="Arial" w:cs="Arial"/>
              </w:rPr>
              <w:t xml:space="preserve">de </w:t>
            </w:r>
            <w:r w:rsidR="00564082">
              <w:rPr>
                <w:rFonts w:ascii="Arial" w:eastAsia="Times New Roman" w:hAnsi="Arial" w:cs="Arial"/>
              </w:rPr>
              <w:t xml:space="preserve">segunda </w:t>
            </w:r>
            <w:r w:rsidR="00AC773C">
              <w:rPr>
                <w:rFonts w:ascii="Arial" w:eastAsia="Times New Roman" w:hAnsi="Arial" w:cs="Arial"/>
              </w:rPr>
              <w:t xml:space="preserve">fase  </w:t>
            </w:r>
            <w:r w:rsidR="00221D22">
              <w:rPr>
                <w:rFonts w:ascii="Arial" w:eastAsia="Times New Roman" w:hAnsi="Arial" w:cs="Arial"/>
              </w:rPr>
              <w:t xml:space="preserve">de </w:t>
            </w:r>
            <w:r>
              <w:rPr>
                <w:rFonts w:ascii="Arial" w:eastAsia="Times New Roman" w:hAnsi="Arial" w:cs="Arial"/>
              </w:rPr>
              <w:t>proyectos RIA e IA del</w:t>
            </w:r>
            <w:r w:rsidR="00221D22">
              <w:rPr>
                <w:rFonts w:ascii="Arial" w:eastAsia="Times New Roman" w:hAnsi="Arial" w:cs="Arial"/>
              </w:rPr>
              <w:t xml:space="preserve"> programa H2020.</w:t>
            </w:r>
          </w:p>
        </w:tc>
      </w:tr>
    </w:tbl>
    <w:p w:rsidR="006654B7" w:rsidRDefault="006654B7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p w:rsidR="006654B7" w:rsidRDefault="006654B7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p w:rsidR="006654B7" w:rsidRDefault="006654B7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p w:rsidR="006654B7" w:rsidRDefault="006654B7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p w:rsidR="006654B7" w:rsidRPr="00372081" w:rsidRDefault="006654B7" w:rsidP="00372081">
      <w:pPr>
        <w:pStyle w:val="Default"/>
        <w:spacing w:before="120" w:after="120" w:line="276" w:lineRule="auto"/>
        <w:ind w:left="709"/>
        <w:rPr>
          <w:rFonts w:ascii="Arial" w:eastAsia="Times New Roman" w:hAnsi="Arial" w:cs="Arial"/>
          <w:color w:val="auto"/>
          <w:sz w:val="22"/>
          <w:szCs w:val="22"/>
        </w:rPr>
      </w:pPr>
    </w:p>
    <w:p w:rsidR="00226A44" w:rsidRPr="00310CFB" w:rsidRDefault="00226A44" w:rsidP="00372081">
      <w:pPr>
        <w:pStyle w:val="Default"/>
        <w:spacing w:before="120" w:after="120" w:line="276" w:lineRule="auto"/>
        <w:rPr>
          <w:color w:val="auto"/>
          <w:sz w:val="22"/>
          <w:szCs w:val="22"/>
        </w:rPr>
      </w:pPr>
    </w:p>
    <w:p w:rsidR="000A24B6" w:rsidRPr="00310CFB" w:rsidRDefault="000A24B6" w:rsidP="00170392">
      <w:pPr>
        <w:pStyle w:val="Default"/>
        <w:spacing w:before="120" w:after="120" w:line="276" w:lineRule="auto"/>
        <w:rPr>
          <w:rFonts w:asciiTheme="minorHAnsi" w:eastAsiaTheme="minorEastAsia" w:hAnsi="Candara" w:cstheme="minorBidi"/>
          <w:b/>
          <w:color w:val="auto"/>
          <w:kern w:val="24"/>
          <w:sz w:val="21"/>
          <w:szCs w:val="21"/>
          <w:lang w:eastAsia="es-ES"/>
        </w:rPr>
      </w:pPr>
    </w:p>
    <w:p w:rsidR="00F109C3" w:rsidRPr="00310CFB" w:rsidRDefault="00F109C3" w:rsidP="006779F4">
      <w:pPr>
        <w:pStyle w:val="Default"/>
        <w:rPr>
          <w:color w:val="auto"/>
          <w:sz w:val="22"/>
          <w:szCs w:val="22"/>
        </w:rPr>
      </w:pPr>
    </w:p>
    <w:p w:rsidR="007D4664" w:rsidRPr="00310CFB" w:rsidRDefault="007D4664" w:rsidP="006779F4">
      <w:pPr>
        <w:pStyle w:val="Default"/>
        <w:rPr>
          <w:color w:val="auto"/>
          <w:sz w:val="22"/>
          <w:szCs w:val="22"/>
        </w:rPr>
      </w:pPr>
    </w:p>
    <w:p w:rsidR="006779F4" w:rsidRPr="00372081" w:rsidRDefault="006779F4" w:rsidP="0012092F">
      <w:pPr>
        <w:pStyle w:val="Default"/>
        <w:spacing w:before="120" w:after="120" w:line="276" w:lineRule="auto"/>
        <w:ind w:firstLine="708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865035" w:rsidRDefault="00865035" w:rsidP="00170392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</w:p>
    <w:sectPr w:rsidR="0086503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2" w:rsidRDefault="000D4CC2" w:rsidP="0080292C">
      <w:pPr>
        <w:spacing w:after="0" w:line="240" w:lineRule="auto"/>
      </w:pPr>
      <w:r>
        <w:separator/>
      </w:r>
    </w:p>
  </w:endnote>
  <w:endnote w:type="continuationSeparator" w:id="0">
    <w:p w:rsidR="000D4CC2" w:rsidRDefault="000D4CC2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4913"/>
      <w:docPartObj>
        <w:docPartGallery w:val="Page Numbers (Bottom of Page)"/>
        <w:docPartUnique/>
      </w:docPartObj>
    </w:sdtPr>
    <w:sdtEndPr/>
    <w:sdtContent>
      <w:p w:rsidR="00826CA1" w:rsidRDefault="00826C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82">
          <w:rPr>
            <w:noProof/>
          </w:rPr>
          <w:t>3</w:t>
        </w:r>
        <w:r>
          <w:fldChar w:fldCharType="end"/>
        </w:r>
      </w:p>
    </w:sdtContent>
  </w:sdt>
  <w:p w:rsidR="00826CA1" w:rsidRDefault="00826C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2" w:rsidRDefault="000D4CC2" w:rsidP="0080292C">
      <w:pPr>
        <w:spacing w:after="0" w:line="240" w:lineRule="auto"/>
      </w:pPr>
      <w:r>
        <w:separator/>
      </w:r>
    </w:p>
  </w:footnote>
  <w:footnote w:type="continuationSeparator" w:id="0">
    <w:p w:rsidR="000D4CC2" w:rsidRDefault="000D4CC2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FB" w:rsidRDefault="00310CFB" w:rsidP="00310CFB">
    <w:pPr>
      <w:pStyle w:val="Encabezado"/>
      <w:jc w:val="center"/>
    </w:pPr>
    <w:r w:rsidRPr="00310CFB">
      <w:rPr>
        <w:rFonts w:ascii="Arial" w:hAnsi="Arial"/>
        <w:noProof/>
        <w:sz w:val="16"/>
        <w:lang w:eastAsia="es-ES"/>
      </w:rPr>
      <w:drawing>
        <wp:inline distT="0" distB="0" distL="0" distR="0" wp14:anchorId="4538E6FE" wp14:editId="330269F4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DE5" w:rsidRDefault="000A6DE5" w:rsidP="00310CFB">
    <w:pPr>
      <w:pStyle w:val="Encabezado"/>
      <w:jc w:val="center"/>
    </w:pPr>
    <w:r w:rsidRPr="000A6DE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A77AA5" wp14:editId="7A19174E">
              <wp:simplePos x="0" y="0"/>
              <wp:positionH relativeFrom="page">
                <wp:posOffset>4242435</wp:posOffset>
              </wp:positionH>
              <wp:positionV relativeFrom="page">
                <wp:posOffset>1009015</wp:posOffset>
              </wp:positionV>
              <wp:extent cx="1857375" cy="350520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DE5" w:rsidRDefault="000A6DE5" w:rsidP="000A6DE5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0A6DE5" w:rsidRDefault="000A6DE5" w:rsidP="000A6DE5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de la Presidencia</w:t>
                          </w:r>
                        </w:p>
                        <w:p w:rsidR="000A6DE5" w:rsidRDefault="000A6DE5" w:rsidP="000A6D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4.05pt;margin-top:79.45pt;width:146.2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" o:allowincell="f" filled="f" stroked="f">
              <v:textbox>
                <w:txbxContent>
                  <w:p w:rsidR="000A6DE5" w:rsidRDefault="000A6DE5" w:rsidP="000A6DE5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0A6DE5" w:rsidRDefault="000A6DE5" w:rsidP="000A6DE5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de la Presidencia</w:t>
                    </w:r>
                  </w:p>
                  <w:p w:rsidR="000A6DE5" w:rsidRDefault="000A6DE5" w:rsidP="000A6DE5">
                    <w:pPr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0A6DE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A005D8" wp14:editId="290D08B6">
              <wp:simplePos x="0" y="0"/>
              <wp:positionH relativeFrom="page">
                <wp:posOffset>2136038</wp:posOffset>
              </wp:positionH>
              <wp:positionV relativeFrom="page">
                <wp:posOffset>1009498</wp:posOffset>
              </wp:positionV>
              <wp:extent cx="1768475" cy="351129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51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DE5" w:rsidRDefault="000A6DE5" w:rsidP="000A6DE5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0A6DE5" w:rsidRDefault="000A6DE5" w:rsidP="000A6DE5">
                          <w:pPr>
                            <w:spacing w:before="35"/>
                          </w:pPr>
                          <w:r w:rsidRPr="001A58D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Lehendakaritzaren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1A58D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Idazkaritza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1A58D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Nagusia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68.2pt;margin-top:79.5pt;width:139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9S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" o:allowincell="f" filled="f" stroked="f">
              <v:textbox>
                <w:txbxContent>
                  <w:p w:rsidR="000A6DE5" w:rsidRDefault="000A6DE5" w:rsidP="000A6DE5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0A6DE5" w:rsidRDefault="000A6DE5" w:rsidP="000A6DE5">
                    <w:pPr>
                      <w:spacing w:before="35"/>
                    </w:pPr>
                    <w:r w:rsidRPr="001A58DE">
                      <w:rPr>
                        <w:rFonts w:ascii="Arial" w:hAnsi="Arial"/>
                        <w:sz w:val="14"/>
                        <w:lang w:val="eu-ES"/>
                      </w:rPr>
                      <w:t>Lehendakaritzaren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1A58DE">
                      <w:rPr>
                        <w:rFonts w:ascii="Arial" w:hAnsi="Arial"/>
                        <w:sz w:val="14"/>
                        <w:lang w:val="eu-ES"/>
                      </w:rPr>
                      <w:t>Idazkaritza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1A58DE">
                      <w:rPr>
                        <w:rFonts w:ascii="Arial" w:hAnsi="Arial"/>
                        <w:sz w:val="14"/>
                        <w:lang w:val="eu-ES"/>
                      </w:rPr>
                      <w:t>Nagusia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0A6DE5" w:rsidRDefault="000A6DE5" w:rsidP="00310CFB">
    <w:pPr>
      <w:pStyle w:val="Encabezado"/>
      <w:jc w:val="center"/>
    </w:pPr>
  </w:p>
  <w:p w:rsidR="00310CFB" w:rsidRDefault="00310CFB" w:rsidP="00310CFB">
    <w:pPr>
      <w:pStyle w:val="Encabezado"/>
      <w:jc w:val="center"/>
    </w:pPr>
  </w:p>
  <w:p w:rsidR="000A6DE5" w:rsidRDefault="000A6DE5" w:rsidP="00310C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29586C"/>
    <w:multiLevelType w:val="hybridMultilevel"/>
    <w:tmpl w:val="CCD00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61489"/>
    <w:multiLevelType w:val="hybridMultilevel"/>
    <w:tmpl w:val="244CFF24"/>
    <w:lvl w:ilvl="0" w:tplc="2682ABFA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F4"/>
    <w:rsid w:val="00013ECC"/>
    <w:rsid w:val="000142ED"/>
    <w:rsid w:val="000227B5"/>
    <w:rsid w:val="00037930"/>
    <w:rsid w:val="00064C0E"/>
    <w:rsid w:val="00064FA1"/>
    <w:rsid w:val="00071937"/>
    <w:rsid w:val="00081E9B"/>
    <w:rsid w:val="000836C1"/>
    <w:rsid w:val="000A24B6"/>
    <w:rsid w:val="000A6DE5"/>
    <w:rsid w:val="000A73FA"/>
    <w:rsid w:val="000B7A1A"/>
    <w:rsid w:val="000D120C"/>
    <w:rsid w:val="000D4CC2"/>
    <w:rsid w:val="000D68BA"/>
    <w:rsid w:val="000F41D9"/>
    <w:rsid w:val="000F5169"/>
    <w:rsid w:val="000F5F30"/>
    <w:rsid w:val="00103799"/>
    <w:rsid w:val="0012092F"/>
    <w:rsid w:val="00134028"/>
    <w:rsid w:val="001417DE"/>
    <w:rsid w:val="00170392"/>
    <w:rsid w:val="00173E41"/>
    <w:rsid w:val="00194C10"/>
    <w:rsid w:val="001B226C"/>
    <w:rsid w:val="001B3A1D"/>
    <w:rsid w:val="001B6414"/>
    <w:rsid w:val="001F7723"/>
    <w:rsid w:val="002050C5"/>
    <w:rsid w:val="00207EDF"/>
    <w:rsid w:val="00221D22"/>
    <w:rsid w:val="00226A44"/>
    <w:rsid w:val="00237C97"/>
    <w:rsid w:val="0026228C"/>
    <w:rsid w:val="002655EB"/>
    <w:rsid w:val="0026764F"/>
    <w:rsid w:val="002A1248"/>
    <w:rsid w:val="002B7CD5"/>
    <w:rsid w:val="002C632D"/>
    <w:rsid w:val="002F6C7F"/>
    <w:rsid w:val="00310CFB"/>
    <w:rsid w:val="00315B3A"/>
    <w:rsid w:val="00357544"/>
    <w:rsid w:val="00372081"/>
    <w:rsid w:val="003F0099"/>
    <w:rsid w:val="00405B9E"/>
    <w:rsid w:val="004128CE"/>
    <w:rsid w:val="00425975"/>
    <w:rsid w:val="004266C7"/>
    <w:rsid w:val="00466B58"/>
    <w:rsid w:val="004C36DB"/>
    <w:rsid w:val="004E0B46"/>
    <w:rsid w:val="00513E23"/>
    <w:rsid w:val="00541F4A"/>
    <w:rsid w:val="00545E5B"/>
    <w:rsid w:val="00564082"/>
    <w:rsid w:val="00565C0D"/>
    <w:rsid w:val="0058482E"/>
    <w:rsid w:val="0059124D"/>
    <w:rsid w:val="005913F4"/>
    <w:rsid w:val="005E4F35"/>
    <w:rsid w:val="006156B7"/>
    <w:rsid w:val="00630189"/>
    <w:rsid w:val="006558D3"/>
    <w:rsid w:val="00664A4B"/>
    <w:rsid w:val="006654B7"/>
    <w:rsid w:val="0066574B"/>
    <w:rsid w:val="006779F4"/>
    <w:rsid w:val="0069367B"/>
    <w:rsid w:val="006B5E8E"/>
    <w:rsid w:val="006D3E14"/>
    <w:rsid w:val="006D47F0"/>
    <w:rsid w:val="006E183E"/>
    <w:rsid w:val="006E213B"/>
    <w:rsid w:val="006E3BA2"/>
    <w:rsid w:val="006F525C"/>
    <w:rsid w:val="00725C35"/>
    <w:rsid w:val="00755D6E"/>
    <w:rsid w:val="00757FF2"/>
    <w:rsid w:val="00791485"/>
    <w:rsid w:val="007D4664"/>
    <w:rsid w:val="0080292C"/>
    <w:rsid w:val="00826CA1"/>
    <w:rsid w:val="00831DC8"/>
    <w:rsid w:val="00835AEA"/>
    <w:rsid w:val="008527A5"/>
    <w:rsid w:val="00865035"/>
    <w:rsid w:val="00873F0D"/>
    <w:rsid w:val="00876954"/>
    <w:rsid w:val="008C1F61"/>
    <w:rsid w:val="008D6281"/>
    <w:rsid w:val="0092251C"/>
    <w:rsid w:val="009362EC"/>
    <w:rsid w:val="009717F9"/>
    <w:rsid w:val="009A679B"/>
    <w:rsid w:val="009B5735"/>
    <w:rsid w:val="009C124C"/>
    <w:rsid w:val="00A14689"/>
    <w:rsid w:val="00A230EE"/>
    <w:rsid w:val="00A47F79"/>
    <w:rsid w:val="00A5515D"/>
    <w:rsid w:val="00A5751E"/>
    <w:rsid w:val="00A61A8C"/>
    <w:rsid w:val="00A631E8"/>
    <w:rsid w:val="00A674CB"/>
    <w:rsid w:val="00A81B0D"/>
    <w:rsid w:val="00A91FF9"/>
    <w:rsid w:val="00AA35C3"/>
    <w:rsid w:val="00AA5892"/>
    <w:rsid w:val="00AC773C"/>
    <w:rsid w:val="00AF251A"/>
    <w:rsid w:val="00AF3E90"/>
    <w:rsid w:val="00B16EAA"/>
    <w:rsid w:val="00B959A0"/>
    <w:rsid w:val="00BA7FC9"/>
    <w:rsid w:val="00BD56BB"/>
    <w:rsid w:val="00BE5FD7"/>
    <w:rsid w:val="00BF4EA9"/>
    <w:rsid w:val="00C01BE6"/>
    <w:rsid w:val="00C01C89"/>
    <w:rsid w:val="00C122FE"/>
    <w:rsid w:val="00C17C1E"/>
    <w:rsid w:val="00C17F57"/>
    <w:rsid w:val="00C22598"/>
    <w:rsid w:val="00C57B4B"/>
    <w:rsid w:val="00CB298C"/>
    <w:rsid w:val="00CD5345"/>
    <w:rsid w:val="00CF46DE"/>
    <w:rsid w:val="00D0392F"/>
    <w:rsid w:val="00D16E36"/>
    <w:rsid w:val="00D17586"/>
    <w:rsid w:val="00D34B09"/>
    <w:rsid w:val="00D36016"/>
    <w:rsid w:val="00D47D46"/>
    <w:rsid w:val="00D64134"/>
    <w:rsid w:val="00D91AC3"/>
    <w:rsid w:val="00DA3495"/>
    <w:rsid w:val="00DB4519"/>
    <w:rsid w:val="00E06623"/>
    <w:rsid w:val="00E15207"/>
    <w:rsid w:val="00E22692"/>
    <w:rsid w:val="00E22B43"/>
    <w:rsid w:val="00E43B09"/>
    <w:rsid w:val="00E762DC"/>
    <w:rsid w:val="00E81C2C"/>
    <w:rsid w:val="00ED4BAC"/>
    <w:rsid w:val="00ED706F"/>
    <w:rsid w:val="00F105D8"/>
    <w:rsid w:val="00F109C3"/>
    <w:rsid w:val="00F21088"/>
    <w:rsid w:val="00F24A3C"/>
    <w:rsid w:val="00F51DA6"/>
    <w:rsid w:val="00F56DD4"/>
    <w:rsid w:val="00F7522A"/>
    <w:rsid w:val="00F87B7C"/>
    <w:rsid w:val="00F947E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A6DE5"/>
    <w:pPr>
      <w:keepNext/>
      <w:outlineLvl w:val="1"/>
    </w:pPr>
    <w:rPr>
      <w:rFonts w:ascii="Arial" w:eastAsia="Calibri" w:hAnsi="Arial" w:cs="Times New Roman"/>
      <w:b/>
      <w:sz w:val="1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A6DE5"/>
    <w:rPr>
      <w:rFonts w:ascii="Arial" w:eastAsia="Calibri" w:hAnsi="Arial" w:cs="Times New Roman"/>
      <w:b/>
      <w:sz w:val="1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A6DE5"/>
    <w:pPr>
      <w:keepNext/>
      <w:outlineLvl w:val="1"/>
    </w:pPr>
    <w:rPr>
      <w:rFonts w:ascii="Arial" w:eastAsia="Calibri" w:hAnsi="Arial" w:cs="Times New Roman"/>
      <w:b/>
      <w:sz w:val="1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A6DE5"/>
    <w:rPr>
      <w:rFonts w:ascii="Arial" w:eastAsia="Calibri" w:hAnsi="Arial" w:cs="Times New Roman"/>
      <w:b/>
      <w:sz w:val="1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11E6-088F-4E9A-A99C-C28829D9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Ispizua Zuazua, Alfredo</dc:creator>
  <cp:lastModifiedBy>Amenabar Sancho, Iosu</cp:lastModifiedBy>
  <cp:revision>11</cp:revision>
  <cp:lastPrinted>2019-01-17T10:28:00Z</cp:lastPrinted>
  <dcterms:created xsi:type="dcterms:W3CDTF">2019-01-17T12:42:00Z</dcterms:created>
  <dcterms:modified xsi:type="dcterms:W3CDTF">2019-01-28T12:09:00Z</dcterms:modified>
</cp:coreProperties>
</file>